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C6" w:rsidRDefault="00F96FC4">
      <w:pPr>
        <w:spacing w:after="673" w:line="259" w:lineRule="auto"/>
        <w:ind w:left="-991" w:firstLine="0"/>
        <w:jc w:val="right"/>
      </w:pPr>
      <w:r>
        <w:rPr>
          <w:noProof/>
        </w:rPr>
        <w:drawing>
          <wp:inline distT="0" distB="0" distL="0" distR="0">
            <wp:extent cx="2610612" cy="486156"/>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2610612" cy="486156"/>
                    </a:xfrm>
                    <a:prstGeom prst="rect">
                      <a:avLst/>
                    </a:prstGeom>
                  </pic:spPr>
                </pic:pic>
              </a:graphicData>
            </a:graphic>
          </wp:inline>
        </w:drawing>
      </w:r>
      <w:r>
        <w:rPr>
          <w:rFonts w:ascii="Courier New" w:eastAsia="Courier New" w:hAnsi="Courier New" w:cs="Courier New"/>
          <w:sz w:val="22"/>
        </w:rPr>
        <w:t xml:space="preserve"> </w:t>
      </w:r>
    </w:p>
    <w:p w:rsidR="00EF35C6" w:rsidRDefault="00F96FC4">
      <w:pPr>
        <w:spacing w:after="254" w:line="259" w:lineRule="auto"/>
        <w:ind w:left="0" w:firstLine="0"/>
      </w:pPr>
      <w:r>
        <w:t xml:space="preserve"> </w:t>
      </w:r>
    </w:p>
    <w:p w:rsidR="00EF35C6" w:rsidRDefault="00F96FC4">
      <w:pPr>
        <w:spacing w:after="254" w:line="259" w:lineRule="auto"/>
        <w:ind w:left="0" w:firstLine="0"/>
      </w:pPr>
      <w:r>
        <w:t xml:space="preserve"> </w:t>
      </w:r>
    </w:p>
    <w:p w:rsidR="00EF35C6" w:rsidRDefault="00F96FC4">
      <w:pPr>
        <w:spacing w:after="252" w:line="259" w:lineRule="auto"/>
        <w:ind w:left="0" w:firstLine="0"/>
      </w:pPr>
      <w:r>
        <w:t xml:space="preserve"> </w:t>
      </w:r>
    </w:p>
    <w:p w:rsidR="00EF35C6" w:rsidRDefault="00F96FC4">
      <w:pPr>
        <w:ind w:left="-5"/>
      </w:pPr>
      <w:r>
        <w:t xml:space="preserve">County Councillor Terry Brown </w:t>
      </w:r>
    </w:p>
    <w:p w:rsidR="00EF35C6" w:rsidRDefault="00F96FC4">
      <w:pPr>
        <w:ind w:left="-5"/>
      </w:pPr>
      <w:r>
        <w:t xml:space="preserve">Audit Committee Chair </w:t>
      </w:r>
    </w:p>
    <w:p w:rsidR="00B13330" w:rsidRPr="00B13330" w:rsidRDefault="00B13330">
      <w:pPr>
        <w:ind w:left="-5"/>
        <w:rPr>
          <w:rFonts w:ascii="Arial" w:hAnsi="Arial" w:cs="Arial"/>
          <w:b/>
        </w:rPr>
      </w:pPr>
      <w:r w:rsidRPr="00B13330">
        <w:rPr>
          <w:rFonts w:ascii="Arial" w:hAnsi="Arial" w:cs="Arial"/>
          <w:b/>
        </w:rPr>
        <w:t>Appendix A</w:t>
      </w:r>
    </w:p>
    <w:p w:rsidR="00B13330" w:rsidRDefault="00B13330">
      <w:pPr>
        <w:ind w:left="-5"/>
      </w:pPr>
    </w:p>
    <w:p w:rsidR="00EF35C6" w:rsidRDefault="00F96FC4">
      <w:pPr>
        <w:ind w:left="-5"/>
      </w:pPr>
      <w:r>
        <w:t xml:space="preserve">Lancashire County Council </w:t>
      </w:r>
    </w:p>
    <w:p w:rsidR="00EF35C6" w:rsidRDefault="00F96FC4">
      <w:pPr>
        <w:ind w:left="-5"/>
      </w:pPr>
      <w:r>
        <w:t xml:space="preserve">County Hall </w:t>
      </w:r>
    </w:p>
    <w:p w:rsidR="00EF35C6" w:rsidRDefault="00F96FC4">
      <w:pPr>
        <w:ind w:left="-5"/>
      </w:pPr>
      <w:r>
        <w:t xml:space="preserve">Preston </w:t>
      </w:r>
    </w:p>
    <w:p w:rsidR="00EF35C6" w:rsidRDefault="00F96FC4">
      <w:pPr>
        <w:spacing w:after="0" w:line="259" w:lineRule="auto"/>
        <w:ind w:left="0" w:firstLine="0"/>
      </w:pPr>
      <w:r>
        <w:rPr>
          <w:rFonts w:ascii="Arial" w:eastAsia="Arial" w:hAnsi="Arial" w:cs="Arial"/>
          <w:b/>
          <w:sz w:val="14"/>
        </w:rPr>
        <w:t xml:space="preserve">Grant Thornton UK LLP </w:t>
      </w:r>
    </w:p>
    <w:p w:rsidR="00EF35C6" w:rsidRDefault="00F96FC4">
      <w:pPr>
        <w:spacing w:line="250" w:lineRule="auto"/>
        <w:ind w:left="-5"/>
      </w:pPr>
      <w:r>
        <w:rPr>
          <w:rFonts w:ascii="Arial" w:eastAsia="Arial" w:hAnsi="Arial" w:cs="Arial"/>
          <w:sz w:val="14"/>
        </w:rPr>
        <w:t xml:space="preserve">4 Hardman Square </w:t>
      </w:r>
    </w:p>
    <w:p w:rsidR="00EF35C6" w:rsidRDefault="00F96FC4">
      <w:pPr>
        <w:spacing w:line="250" w:lineRule="auto"/>
        <w:ind w:left="-5"/>
      </w:pPr>
      <w:proofErr w:type="spellStart"/>
      <w:r>
        <w:rPr>
          <w:rFonts w:ascii="Arial" w:eastAsia="Arial" w:hAnsi="Arial" w:cs="Arial"/>
          <w:sz w:val="14"/>
        </w:rPr>
        <w:t>Spinningfields</w:t>
      </w:r>
      <w:proofErr w:type="spellEnd"/>
      <w:r>
        <w:rPr>
          <w:rFonts w:ascii="Arial" w:eastAsia="Arial" w:hAnsi="Arial" w:cs="Arial"/>
          <w:sz w:val="14"/>
        </w:rPr>
        <w:t xml:space="preserve"> Manchester M3 3EB </w:t>
      </w:r>
    </w:p>
    <w:p w:rsidR="00EF35C6" w:rsidRDefault="00F96FC4">
      <w:pPr>
        <w:spacing w:after="38" w:line="259" w:lineRule="auto"/>
        <w:ind w:left="0" w:firstLine="0"/>
      </w:pPr>
      <w:r>
        <w:rPr>
          <w:rFonts w:ascii="Arial" w:eastAsia="Arial" w:hAnsi="Arial" w:cs="Arial"/>
          <w:sz w:val="9"/>
        </w:rPr>
        <w:t xml:space="preserve"> </w:t>
      </w:r>
    </w:p>
    <w:p w:rsidR="00EF35C6" w:rsidRDefault="00F96FC4">
      <w:pPr>
        <w:spacing w:line="250" w:lineRule="auto"/>
        <w:ind w:left="-5"/>
      </w:pPr>
      <w:r>
        <w:rPr>
          <w:rFonts w:ascii="Arial" w:eastAsia="Arial" w:hAnsi="Arial" w:cs="Arial"/>
          <w:sz w:val="14"/>
        </w:rPr>
        <w:t xml:space="preserve">T +44 (0)161 953 6900 F +44 (0)161 953 6901 www.grant-thornton.co.uk </w:t>
      </w:r>
    </w:p>
    <w:p w:rsidR="00EF35C6" w:rsidRDefault="00EF35C6">
      <w:pPr>
        <w:sectPr w:rsidR="00EF35C6">
          <w:pgSz w:w="11900" w:h="16840"/>
          <w:pgMar w:top="766" w:right="1240" w:bottom="1440" w:left="2496" w:header="720" w:footer="720" w:gutter="0"/>
          <w:cols w:num="2" w:space="720" w:equalWidth="0">
            <w:col w:w="3034" w:space="3797"/>
            <w:col w:w="1334"/>
          </w:cols>
        </w:sectPr>
      </w:pPr>
    </w:p>
    <w:p w:rsidR="00EF35C6" w:rsidRDefault="00F96FC4">
      <w:pPr>
        <w:spacing w:after="248"/>
        <w:ind w:left="-5"/>
      </w:pPr>
      <w:r>
        <w:t xml:space="preserve">PR1 0LD </w:t>
      </w:r>
    </w:p>
    <w:p w:rsidR="00EF35C6" w:rsidRDefault="00F96FC4">
      <w:pPr>
        <w:spacing w:after="248"/>
        <w:ind w:left="-5"/>
      </w:pPr>
      <w:r>
        <w:t xml:space="preserve">13 May 2016 </w:t>
      </w:r>
    </w:p>
    <w:p w:rsidR="00EF35C6" w:rsidRDefault="00F96FC4">
      <w:pPr>
        <w:spacing w:after="248"/>
        <w:ind w:left="-5"/>
      </w:pPr>
      <w:r>
        <w:t xml:space="preserve">Dear Cllr Brown </w:t>
      </w:r>
    </w:p>
    <w:p w:rsidR="00EF35C6" w:rsidRPr="00F96FC4" w:rsidRDefault="00F96FC4">
      <w:pPr>
        <w:spacing w:after="18" w:line="261" w:lineRule="auto"/>
        <w:ind w:left="-5"/>
        <w:rPr>
          <w:rFonts w:ascii="Arial" w:hAnsi="Arial" w:cs="Arial"/>
          <w:i/>
          <w:szCs w:val="24"/>
        </w:rPr>
      </w:pPr>
      <w:r w:rsidRPr="00F96FC4">
        <w:rPr>
          <w:rFonts w:ascii="Arial" w:eastAsia="Calibri" w:hAnsi="Arial" w:cs="Arial"/>
          <w:i/>
          <w:szCs w:val="24"/>
        </w:rPr>
        <w:t xml:space="preserve">Lancashire County Council Financial Statements for the year end 31 March </w:t>
      </w:r>
    </w:p>
    <w:p w:rsidR="00EF35C6" w:rsidRPr="00F96FC4" w:rsidRDefault="00F96FC4">
      <w:pPr>
        <w:spacing w:after="18" w:line="261" w:lineRule="auto"/>
        <w:ind w:left="-5"/>
        <w:rPr>
          <w:rFonts w:ascii="Arial" w:hAnsi="Arial" w:cs="Arial"/>
          <w:i/>
          <w:szCs w:val="24"/>
        </w:rPr>
      </w:pPr>
      <w:r w:rsidRPr="00F96FC4">
        <w:rPr>
          <w:rFonts w:ascii="Arial" w:eastAsia="Calibri" w:hAnsi="Arial" w:cs="Arial"/>
          <w:i/>
          <w:szCs w:val="24"/>
        </w:rPr>
        <w:t xml:space="preserve">2016 </w:t>
      </w:r>
    </w:p>
    <w:p w:rsidR="00EF35C6" w:rsidRPr="00F96FC4" w:rsidRDefault="00F96FC4">
      <w:pPr>
        <w:spacing w:after="16" w:line="259" w:lineRule="auto"/>
        <w:ind w:left="0" w:firstLine="0"/>
        <w:rPr>
          <w:rFonts w:ascii="Arial" w:hAnsi="Arial" w:cs="Arial"/>
          <w:i/>
          <w:szCs w:val="24"/>
        </w:rPr>
      </w:pPr>
      <w:r w:rsidRPr="00F96FC4">
        <w:rPr>
          <w:rFonts w:ascii="Arial" w:eastAsia="Calibri" w:hAnsi="Arial" w:cs="Arial"/>
          <w:i/>
          <w:szCs w:val="24"/>
        </w:rPr>
        <w:t xml:space="preserve"> </w:t>
      </w:r>
    </w:p>
    <w:p w:rsidR="00EF35C6" w:rsidRPr="00F96FC4" w:rsidRDefault="00F96FC4">
      <w:pPr>
        <w:spacing w:after="296" w:line="261" w:lineRule="auto"/>
        <w:ind w:left="-5"/>
        <w:rPr>
          <w:rFonts w:ascii="Arial" w:hAnsi="Arial" w:cs="Arial"/>
          <w:i/>
          <w:szCs w:val="24"/>
        </w:rPr>
      </w:pPr>
      <w:r w:rsidRPr="00F96FC4">
        <w:rPr>
          <w:rFonts w:ascii="Arial" w:eastAsia="Calibri" w:hAnsi="Arial" w:cs="Arial"/>
          <w:i/>
          <w:szCs w:val="24"/>
        </w:rPr>
        <w:t xml:space="preserve">Understanding how the Audit Committee gains assurance from management </w:t>
      </w:r>
    </w:p>
    <w:p w:rsidR="00EF35C6" w:rsidRPr="00F96FC4" w:rsidRDefault="00F96FC4">
      <w:pPr>
        <w:spacing w:after="247"/>
        <w:ind w:left="-5"/>
        <w:rPr>
          <w:rFonts w:ascii="Arial" w:hAnsi="Arial" w:cs="Arial"/>
        </w:rPr>
      </w:pPr>
      <w:r w:rsidRPr="00F96FC4">
        <w:rPr>
          <w:rFonts w:ascii="Arial" w:hAnsi="Arial" w:cs="Arial"/>
        </w:rPr>
        <w:t xml:space="preserve">To comply with International Auditing Standards, each year we need to refresh our understanding of how the Audit Committee gains assurance over management processes and arrangements. </w:t>
      </w:r>
    </w:p>
    <w:p w:rsidR="00EF35C6" w:rsidRPr="00F96FC4" w:rsidRDefault="00F96FC4">
      <w:pPr>
        <w:spacing w:after="259"/>
        <w:ind w:left="-5"/>
        <w:rPr>
          <w:rFonts w:ascii="Arial" w:hAnsi="Arial" w:cs="Arial"/>
        </w:rPr>
      </w:pPr>
      <w:r w:rsidRPr="00F96FC4">
        <w:rPr>
          <w:rFonts w:ascii="Arial" w:hAnsi="Arial" w:cs="Arial"/>
        </w:rPr>
        <w:t xml:space="preserve">I would be grateful, therefore, if you could write to me with your responses to the following questions. </w:t>
      </w:r>
    </w:p>
    <w:p w:rsidR="00EF35C6" w:rsidRPr="00F96FC4" w:rsidRDefault="00F96FC4">
      <w:pPr>
        <w:numPr>
          <w:ilvl w:val="0"/>
          <w:numId w:val="1"/>
        </w:numPr>
        <w:spacing w:after="32"/>
        <w:ind w:hanging="228"/>
        <w:rPr>
          <w:rFonts w:ascii="Arial" w:hAnsi="Arial" w:cs="Arial"/>
        </w:rPr>
      </w:pPr>
      <w:r w:rsidRPr="00F96FC4">
        <w:rPr>
          <w:rFonts w:ascii="Arial" w:hAnsi="Arial" w:cs="Arial"/>
        </w:rPr>
        <w:t xml:space="preserve">How does the Audit Committee oversee management's processes in relation to: </w:t>
      </w:r>
    </w:p>
    <w:p w:rsidR="00EF35C6" w:rsidRPr="00F96FC4" w:rsidRDefault="00F96FC4">
      <w:pPr>
        <w:spacing w:after="36"/>
        <w:ind w:left="454" w:hanging="226"/>
        <w:rPr>
          <w:rFonts w:ascii="Arial" w:hAnsi="Arial" w:cs="Arial"/>
        </w:rPr>
      </w:pPr>
      <w:r w:rsidRPr="00F96FC4">
        <w:rPr>
          <w:rFonts w:ascii="Arial" w:eastAsia="Segoe UI Symbol" w:hAnsi="Arial" w:cs="Arial"/>
        </w:rPr>
        <w:t>−</w:t>
      </w:r>
      <w:r w:rsidRPr="00F96FC4">
        <w:rPr>
          <w:rFonts w:ascii="Arial" w:eastAsia="Arial" w:hAnsi="Arial" w:cs="Arial"/>
        </w:rPr>
        <w:t xml:space="preserve"> </w:t>
      </w:r>
      <w:r w:rsidRPr="00F96FC4">
        <w:rPr>
          <w:rFonts w:ascii="Arial" w:hAnsi="Arial" w:cs="Arial"/>
        </w:rPr>
        <w:t xml:space="preserve">carrying out an assessment of the risk the financial statements may be materially misstated due to fraud or error </w:t>
      </w:r>
    </w:p>
    <w:p w:rsidR="00EF35C6" w:rsidRPr="00F96FC4" w:rsidRDefault="00F96FC4">
      <w:pPr>
        <w:ind w:left="238"/>
        <w:rPr>
          <w:rFonts w:ascii="Arial" w:hAnsi="Arial" w:cs="Arial"/>
        </w:rPr>
      </w:pPr>
      <w:r w:rsidRPr="00F96FC4">
        <w:rPr>
          <w:rFonts w:ascii="Arial" w:eastAsia="Segoe UI Symbol" w:hAnsi="Arial" w:cs="Arial"/>
        </w:rPr>
        <w:t>−</w:t>
      </w:r>
      <w:r w:rsidRPr="00F96FC4">
        <w:rPr>
          <w:rFonts w:ascii="Arial" w:eastAsia="Arial" w:hAnsi="Arial" w:cs="Arial"/>
        </w:rPr>
        <w:t xml:space="preserve"> </w:t>
      </w:r>
      <w:r w:rsidRPr="00F96FC4">
        <w:rPr>
          <w:rFonts w:ascii="Arial" w:hAnsi="Arial" w:cs="Arial"/>
        </w:rPr>
        <w:t xml:space="preserve">identifying and responding to the risk of breaches of internal control </w:t>
      </w:r>
    </w:p>
    <w:p w:rsidR="00EF35C6" w:rsidRPr="00F96FC4" w:rsidRDefault="00F96FC4">
      <w:pPr>
        <w:spacing w:after="39"/>
        <w:ind w:left="454" w:hanging="226"/>
        <w:rPr>
          <w:rFonts w:ascii="Arial" w:hAnsi="Arial" w:cs="Arial"/>
        </w:rPr>
      </w:pPr>
      <w:r w:rsidRPr="00F96FC4">
        <w:rPr>
          <w:rFonts w:ascii="Arial" w:eastAsia="Segoe UI Symbol" w:hAnsi="Arial" w:cs="Arial"/>
        </w:rPr>
        <w:t>−</w:t>
      </w:r>
      <w:r w:rsidRPr="00F96FC4">
        <w:rPr>
          <w:rFonts w:ascii="Arial" w:eastAsia="Arial" w:hAnsi="Arial" w:cs="Arial"/>
        </w:rPr>
        <w:t xml:space="preserve"> </w:t>
      </w:r>
      <w:r w:rsidRPr="00F96FC4">
        <w:rPr>
          <w:rFonts w:ascii="Arial" w:hAnsi="Arial" w:cs="Arial"/>
        </w:rPr>
        <w:t xml:space="preserve">identifying and responding to risks of fraud in the organization (including any specific risks of fraud which management have identified or that have been brought to its attention, or classes of transactions, account balances, or disclosure for which a risk of fraud is likely to exist) </w:t>
      </w:r>
    </w:p>
    <w:p w:rsidR="00EF35C6" w:rsidRPr="00F96FC4" w:rsidRDefault="00F96FC4">
      <w:pPr>
        <w:ind w:left="454" w:hanging="226"/>
        <w:rPr>
          <w:rFonts w:ascii="Arial" w:hAnsi="Arial" w:cs="Arial"/>
        </w:rPr>
      </w:pPr>
      <w:r w:rsidRPr="00F96FC4">
        <w:rPr>
          <w:rFonts w:ascii="Arial" w:eastAsia="Segoe UI Symbol" w:hAnsi="Arial" w:cs="Arial"/>
        </w:rPr>
        <w:t>−</w:t>
      </w:r>
      <w:r w:rsidRPr="00F96FC4">
        <w:rPr>
          <w:rFonts w:ascii="Arial" w:eastAsia="Arial" w:hAnsi="Arial" w:cs="Arial"/>
        </w:rPr>
        <w:t xml:space="preserve"> </w:t>
      </w:r>
      <w:r w:rsidRPr="00F96FC4">
        <w:rPr>
          <w:rFonts w:ascii="Arial" w:hAnsi="Arial" w:cs="Arial"/>
        </w:rPr>
        <w:t xml:space="preserve">communicating to employees its views on appropriate business practice and ethical </w:t>
      </w:r>
      <w:proofErr w:type="spellStart"/>
      <w:r w:rsidRPr="00F96FC4">
        <w:rPr>
          <w:rFonts w:ascii="Arial" w:hAnsi="Arial" w:cs="Arial"/>
        </w:rPr>
        <w:t>behavior</w:t>
      </w:r>
      <w:proofErr w:type="spellEnd"/>
      <w:r w:rsidRPr="00F96FC4">
        <w:rPr>
          <w:rFonts w:ascii="Arial" w:hAnsi="Arial" w:cs="Arial"/>
        </w:rPr>
        <w:t xml:space="preserve"> (for example by updating, communicating and monitoring against the codes of conduct)? </w:t>
      </w:r>
    </w:p>
    <w:p w:rsidR="00EF35C6" w:rsidRPr="00F96FC4" w:rsidRDefault="00F96FC4">
      <w:pPr>
        <w:numPr>
          <w:ilvl w:val="0"/>
          <w:numId w:val="1"/>
        </w:numPr>
        <w:ind w:hanging="228"/>
        <w:rPr>
          <w:rFonts w:ascii="Arial" w:hAnsi="Arial" w:cs="Arial"/>
        </w:rPr>
      </w:pPr>
      <w:r w:rsidRPr="00F96FC4">
        <w:rPr>
          <w:rFonts w:ascii="Arial" w:hAnsi="Arial" w:cs="Arial"/>
        </w:rPr>
        <w:t xml:space="preserve">Do you have knowledge of any actual, suspected or alleged frauds? If so, please provide details.   </w:t>
      </w:r>
    </w:p>
    <w:p w:rsidR="00EF35C6" w:rsidRPr="00F96FC4" w:rsidRDefault="00F96FC4">
      <w:pPr>
        <w:numPr>
          <w:ilvl w:val="0"/>
          <w:numId w:val="1"/>
        </w:numPr>
        <w:ind w:hanging="228"/>
        <w:rPr>
          <w:rFonts w:ascii="Arial" w:hAnsi="Arial" w:cs="Arial"/>
        </w:rPr>
      </w:pPr>
      <w:r w:rsidRPr="00F96FC4">
        <w:rPr>
          <w:rFonts w:ascii="Arial" w:hAnsi="Arial" w:cs="Arial"/>
        </w:rPr>
        <w:lastRenderedPageBreak/>
        <w:t xml:space="preserve">How does the Audit Committee gain assurance that the County Council has complied with all relevant laws and regulations?   </w:t>
      </w:r>
    </w:p>
    <w:p w:rsidR="00EF35C6" w:rsidRPr="00F96FC4" w:rsidRDefault="00F96FC4">
      <w:pPr>
        <w:numPr>
          <w:ilvl w:val="0"/>
          <w:numId w:val="1"/>
        </w:numPr>
        <w:ind w:hanging="228"/>
        <w:rPr>
          <w:rFonts w:ascii="Arial" w:hAnsi="Arial" w:cs="Arial"/>
        </w:rPr>
      </w:pPr>
      <w:r w:rsidRPr="00F96FC4">
        <w:rPr>
          <w:rFonts w:ascii="Arial" w:hAnsi="Arial" w:cs="Arial"/>
        </w:rPr>
        <w:t xml:space="preserve">Are you aware of any actual or potential litigation or claims that would affect the financial statements? </w:t>
      </w:r>
    </w:p>
    <w:p w:rsidR="00F96FC4" w:rsidRPr="00F96FC4" w:rsidRDefault="00F96FC4" w:rsidP="00F96FC4">
      <w:pPr>
        <w:ind w:left="228" w:firstLine="0"/>
        <w:rPr>
          <w:rFonts w:ascii="Arial" w:hAnsi="Arial" w:cs="Arial"/>
        </w:rPr>
      </w:pPr>
    </w:p>
    <w:p w:rsidR="00F96FC4" w:rsidRPr="00F96FC4" w:rsidRDefault="00F96FC4" w:rsidP="00F96FC4">
      <w:pPr>
        <w:spacing w:after="469"/>
        <w:ind w:left="-5"/>
        <w:rPr>
          <w:rFonts w:ascii="Arial" w:hAnsi="Arial" w:cs="Arial"/>
        </w:rPr>
      </w:pPr>
      <w:r w:rsidRPr="00F96FC4">
        <w:rPr>
          <w:rFonts w:ascii="Arial" w:hAnsi="Arial" w:cs="Arial"/>
        </w:rPr>
        <w:t xml:space="preserve">Please could you provide a response by 30 June 2016 and please contact me if you wish to discuss anything in relation to this request. </w:t>
      </w:r>
    </w:p>
    <w:p w:rsidR="00F96FC4" w:rsidRPr="00F96FC4" w:rsidRDefault="00F96FC4" w:rsidP="00F96FC4">
      <w:pPr>
        <w:ind w:left="-5"/>
        <w:rPr>
          <w:rFonts w:ascii="Arial" w:hAnsi="Arial" w:cs="Arial"/>
        </w:rPr>
      </w:pPr>
      <w:r w:rsidRPr="00F96FC4">
        <w:rPr>
          <w:rFonts w:ascii="Arial" w:hAnsi="Arial" w:cs="Arial"/>
        </w:rPr>
        <w:t xml:space="preserve">Yours sincerely </w:t>
      </w:r>
    </w:p>
    <w:p w:rsidR="00F96FC4" w:rsidRPr="00F96FC4" w:rsidRDefault="00F96FC4" w:rsidP="00F96FC4">
      <w:pPr>
        <w:spacing w:after="254" w:line="259" w:lineRule="auto"/>
        <w:ind w:left="0" w:firstLine="0"/>
        <w:rPr>
          <w:rFonts w:ascii="Arial" w:hAnsi="Arial" w:cs="Arial"/>
        </w:rPr>
      </w:pPr>
      <w:r w:rsidRPr="00F96FC4">
        <w:rPr>
          <w:rFonts w:ascii="Arial" w:hAnsi="Arial" w:cs="Arial"/>
        </w:rPr>
        <w:t xml:space="preserve"> </w:t>
      </w:r>
    </w:p>
    <w:p w:rsidR="00F96FC4" w:rsidRPr="00F96FC4" w:rsidRDefault="00F96FC4" w:rsidP="00F96FC4">
      <w:pPr>
        <w:ind w:left="-5"/>
        <w:rPr>
          <w:rFonts w:ascii="Arial" w:hAnsi="Arial" w:cs="Arial"/>
        </w:rPr>
      </w:pPr>
      <w:r w:rsidRPr="00F96FC4">
        <w:rPr>
          <w:rFonts w:ascii="Arial" w:hAnsi="Arial" w:cs="Arial"/>
        </w:rPr>
        <w:t xml:space="preserve">Karen Murray </w:t>
      </w:r>
    </w:p>
    <w:p w:rsidR="00F96FC4" w:rsidRPr="00F96FC4" w:rsidRDefault="00F96FC4" w:rsidP="00F96FC4">
      <w:pPr>
        <w:ind w:left="-5"/>
        <w:rPr>
          <w:rFonts w:ascii="Arial" w:hAnsi="Arial" w:cs="Arial"/>
        </w:rPr>
      </w:pPr>
      <w:r w:rsidRPr="00F96FC4">
        <w:rPr>
          <w:rFonts w:ascii="Arial" w:hAnsi="Arial" w:cs="Arial"/>
        </w:rPr>
        <w:t xml:space="preserve">Director </w:t>
      </w:r>
    </w:p>
    <w:p w:rsidR="00F96FC4" w:rsidRPr="00F96FC4" w:rsidRDefault="00F96FC4" w:rsidP="00F96FC4">
      <w:pPr>
        <w:ind w:left="-5"/>
        <w:rPr>
          <w:rFonts w:ascii="Arial" w:hAnsi="Arial" w:cs="Arial"/>
        </w:rPr>
      </w:pPr>
      <w:r w:rsidRPr="00F96FC4">
        <w:rPr>
          <w:rFonts w:ascii="Arial" w:hAnsi="Arial" w:cs="Arial"/>
        </w:rPr>
        <w:t xml:space="preserve">For Grant Thornton UK LLP </w:t>
      </w:r>
    </w:p>
    <w:p w:rsidR="00EF35C6" w:rsidRPr="00F96FC4" w:rsidRDefault="00F96FC4">
      <w:pPr>
        <w:spacing w:after="469"/>
        <w:ind w:left="-5"/>
        <w:rPr>
          <w:rFonts w:ascii="Arial" w:hAnsi="Arial" w:cs="Arial"/>
        </w:rPr>
      </w:pPr>
      <w:r w:rsidRPr="00F96FC4">
        <w:rPr>
          <w:rFonts w:ascii="Arial" w:hAnsi="Arial" w:cs="Arial"/>
        </w:rPr>
        <w:t xml:space="preserve"> </w:t>
      </w:r>
    </w:p>
    <w:p w:rsidR="00EF35C6" w:rsidRDefault="00F96FC4">
      <w:pPr>
        <w:spacing w:after="38" w:line="259" w:lineRule="auto"/>
        <w:ind w:left="0" w:firstLine="0"/>
      </w:pPr>
      <w:r>
        <w:rPr>
          <w:rFonts w:ascii="Arial" w:eastAsia="Arial" w:hAnsi="Arial" w:cs="Arial"/>
          <w:b/>
          <w:sz w:val="11"/>
        </w:rPr>
        <w:t xml:space="preserve">Chartered Accountants </w:t>
      </w:r>
    </w:p>
    <w:p w:rsidR="00EF35C6" w:rsidRDefault="00F96FC4">
      <w:pPr>
        <w:spacing w:after="102" w:line="259" w:lineRule="auto"/>
        <w:ind w:left="-5"/>
      </w:pPr>
      <w:r>
        <w:rPr>
          <w:rFonts w:ascii="Arial" w:eastAsia="Arial" w:hAnsi="Arial" w:cs="Arial"/>
          <w:b/>
          <w:color w:val="7F7F7F"/>
          <w:sz w:val="16"/>
        </w:rPr>
        <w:t xml:space="preserve"> </w:t>
      </w:r>
      <w:r>
        <w:rPr>
          <w:rFonts w:ascii="Arial" w:eastAsia="Arial" w:hAnsi="Arial" w:cs="Arial"/>
          <w:sz w:val="11"/>
        </w:rPr>
        <w:t xml:space="preserve">Grant Thornton UK LLP is a limited liability partnership registered in England and Wales: No.OC307742. Registered office: Grant Thornton House, Melton Street, </w:t>
      </w:r>
      <w:proofErr w:type="gramStart"/>
      <w:r>
        <w:rPr>
          <w:rFonts w:ascii="Arial" w:eastAsia="Arial" w:hAnsi="Arial" w:cs="Arial"/>
          <w:sz w:val="11"/>
        </w:rPr>
        <w:t>Euston</w:t>
      </w:r>
      <w:proofErr w:type="gramEnd"/>
      <w:r>
        <w:rPr>
          <w:rFonts w:ascii="Arial" w:eastAsia="Arial" w:hAnsi="Arial" w:cs="Arial"/>
          <w:sz w:val="11"/>
        </w:rPr>
        <w:t xml:space="preserve"> Square, London NW1 2EP. </w:t>
      </w:r>
    </w:p>
    <w:p w:rsidR="00EF35C6" w:rsidRDefault="00F96FC4" w:rsidP="005743F6">
      <w:pPr>
        <w:spacing w:after="102" w:line="521" w:lineRule="auto"/>
        <w:ind w:left="-5"/>
      </w:pPr>
      <w:r>
        <w:rPr>
          <w:rFonts w:ascii="Arial" w:eastAsia="Arial" w:hAnsi="Arial" w:cs="Arial"/>
          <w:sz w:val="11"/>
        </w:rPr>
        <w:t xml:space="preserve">Grant Thornton UK LLP is a member firm of Grant Thornton International Ltd (GTIL). GTIL and the member firms are not a worldwide partnership. Services </w:t>
      </w:r>
      <w:proofErr w:type="spellStart"/>
      <w:r>
        <w:rPr>
          <w:rFonts w:ascii="Arial" w:eastAsia="Arial" w:hAnsi="Arial" w:cs="Arial"/>
          <w:sz w:val="11"/>
        </w:rPr>
        <w:t>ar</w:t>
      </w:r>
      <w:proofErr w:type="spellEnd"/>
      <w:r>
        <w:rPr>
          <w:rFonts w:ascii="Arial" w:eastAsia="Arial" w:hAnsi="Arial" w:cs="Arial"/>
          <w:b/>
          <w:color w:val="7F7F7F"/>
          <w:sz w:val="16"/>
        </w:rPr>
        <w:t xml:space="preserve"> </w:t>
      </w:r>
      <w:proofErr w:type="gramStart"/>
      <w:r>
        <w:rPr>
          <w:rFonts w:ascii="Arial" w:eastAsia="Arial" w:hAnsi="Arial" w:cs="Arial"/>
          <w:sz w:val="11"/>
        </w:rPr>
        <w:t>A</w:t>
      </w:r>
      <w:proofErr w:type="gramEnd"/>
      <w:r>
        <w:rPr>
          <w:rFonts w:ascii="Arial" w:eastAsia="Arial" w:hAnsi="Arial" w:cs="Arial"/>
          <w:sz w:val="11"/>
        </w:rPr>
        <w:t xml:space="preserve"> list of members is available from our registered office.  Grant Thornton UK LLP is authorised and regulated by the Financial Conduct Authority. </w:t>
      </w:r>
      <w:r>
        <w:rPr>
          <w:rFonts w:ascii="Arial" w:eastAsia="Arial" w:hAnsi="Arial" w:cs="Arial"/>
          <w:sz w:val="11"/>
        </w:rPr>
        <w:tab/>
      </w:r>
      <w:proofErr w:type="spellStart"/>
      <w:proofErr w:type="gramStart"/>
      <w:r>
        <w:rPr>
          <w:rFonts w:ascii="Arial" w:eastAsia="Arial" w:hAnsi="Arial" w:cs="Arial"/>
          <w:sz w:val="11"/>
        </w:rPr>
        <w:t>e</w:t>
      </w:r>
      <w:proofErr w:type="spellEnd"/>
      <w:proofErr w:type="gramEnd"/>
      <w:r>
        <w:rPr>
          <w:rFonts w:ascii="Arial" w:eastAsia="Arial" w:hAnsi="Arial" w:cs="Arial"/>
          <w:sz w:val="11"/>
        </w:rPr>
        <w:t xml:space="preserve"> delivered by the member firms. GTIL and its member firms are not agents of, and do not obligate, one another and are not liable for one another’s acts or omissions. Please see www.grant-thornton.co.uk for further details.</w:t>
      </w:r>
      <w:bookmarkStart w:id="0" w:name="_GoBack"/>
      <w:bookmarkEnd w:id="0"/>
    </w:p>
    <w:sectPr w:rsidR="00EF35C6">
      <w:type w:val="continuous"/>
      <w:pgSz w:w="11900" w:h="16840"/>
      <w:pgMar w:top="2311" w:right="1411" w:bottom="345" w:left="2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D77"/>
    <w:multiLevelType w:val="hybridMultilevel"/>
    <w:tmpl w:val="B0B0EA78"/>
    <w:lvl w:ilvl="0" w:tplc="BD10865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65F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66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46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82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6A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C9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6D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6"/>
    <w:rsid w:val="005743F6"/>
    <w:rsid w:val="00B13330"/>
    <w:rsid w:val="00EF35C6"/>
    <w:rsid w:val="00F9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512A5-00AC-420A-BBD9-C8B5F6AB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Letter tcwg 201516</vt:lpstr>
    </vt:vector>
  </TitlesOfParts>
  <Company>BT Lancashire Services Limited</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tcwg 201516</dc:title>
  <dc:subject/>
  <dc:creator>Grant Thornton UK LLP</dc:creator>
  <cp:keywords/>
  <cp:lastModifiedBy>Rawcliffe, Cath</cp:lastModifiedBy>
  <cp:revision>4</cp:revision>
  <dcterms:created xsi:type="dcterms:W3CDTF">2016-06-17T13:12:00Z</dcterms:created>
  <dcterms:modified xsi:type="dcterms:W3CDTF">2016-06-17T15:35:00Z</dcterms:modified>
</cp:coreProperties>
</file>